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Протокол собрания ПМ 18 декабря 2024 год.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Присутствовали 6 человек все члены комитета.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06" w:leader="none"/>
        </w:tabs>
        <w:bidi w:val="0"/>
        <w:spacing w:before="0" w:after="0"/>
        <w:ind w:hanging="306" w:left="306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Проведение собраний комитета ПМ раз в месяц.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Предложение: 1 раз в месяц.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Голосование: единогласно «ЗА»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 xml:space="preserve">2. </w:t>
      </w:r>
      <w:r>
        <w:rPr>
          <w:rFonts w:eastAsia="TimesNewRomanPSMT" w:cs="TimesNewRomanPSMT" w:ascii="TimesNewRomanPSMT" w:hAnsi="TimesNewRomanPSMT"/>
          <w:color w:val="000000"/>
          <w:sz w:val="28"/>
          <w:szCs w:val="28"/>
        </w:rPr>
        <w:t xml:space="preserve">Взаимодействие с печатными изданиями.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Продолжать работу и раз в квартал стараться печататься в газетах.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Готовить разные статьи и квартально выкладывать.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Выбрать ответственных за написание статей и за размещение.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Ответственные за написание статей: Ирина, Марина, Юля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Ответственных за размещение спросим в чате ПМ и проголосуем.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</w:rPr>
        <w:t xml:space="preserve">3. Информирование на группах АА ДО 24 РМЭ.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 xml:space="preserve">1. Предложения на Округ: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1. Спикер-хантер является служителем пресс-медиа и в его обязанности добавляется помощь комитету ПМ.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2. Рекомендовать Спикер-хантерам групп проводить спикерские по структуре обслуживания, о необходимости служения для членов групп. Рекомендовать группам внимательно выбирать служителей в соответствии с положением комитета.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3. Необходимо провести семинар (с пловом) по работе комитетов ПМ, КИО и КИТ о результатах, целях, планах и тд., организованный КОФС.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 xml:space="preserve">4. </w:t>
      </w:r>
      <w:r>
        <w:rPr>
          <w:rFonts w:eastAsia="TimesNewRomanPSMT" w:cs="TimesNewRomanPSMT" w:ascii="TimesNewRomanPSMT" w:hAnsi="TimesNewRomanPSMT"/>
          <w:color w:val="000000"/>
          <w:sz w:val="28"/>
          <w:szCs w:val="28"/>
        </w:rPr>
        <w:t>Заказать печать - визитку</w:t>
      </w: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 xml:space="preserve"> для маркировки книг АА.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5. Поменять информацию на лифлете: Волжск 2 собрания в нед.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2. Приходить на рабочее собрание групп по информированию о комитете ПМ.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</w:rPr>
        <w:t>4. Другое.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1. Проводить информационные собрания комитета ПМ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2. Сделать онлайн доску задач для эффективной работы.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NewRomanPSMT" w:hAnsi="TimesNewRomanPSMT" w:eastAsia="TimesNewRomanPSMT" w:cs="TimesNewRomanPSMT"/>
          <w:color w:val="000000"/>
          <w:sz w:val="28"/>
          <w:szCs w:val="28"/>
          <w:lang w:val="ru-RU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val="ru-RU"/>
        </w:rPr>
        <w:t>3. Задачи для Леонида по картинкам. ТЗ разрабатывает Максим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NewRomanPSM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06"/>
        </w:tabs>
        <w:ind w:left="306" w:hanging="306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ource Han Serif CN" w:cs="Noto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NumberingSymbols">
    <w:name w:val="Numbering_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